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37744">
      <w:pPr>
        <w:jc w:val="center"/>
        <w:rPr>
          <w:rFonts w:hint="eastAsia" w:hAnsi="宋体" w:eastAsia="宋体" w:cs="宋体"/>
          <w:b/>
          <w:bCs w:val="0"/>
          <w:color w:val="auto"/>
          <w:sz w:val="28"/>
          <w:lang w:eastAsia="zh-CN"/>
        </w:rPr>
      </w:pPr>
      <w:r>
        <w:rPr>
          <w:rFonts w:hint="eastAsia" w:hAnsi="宋体" w:eastAsia="宋体" w:cs="宋体"/>
          <w:b/>
          <w:bCs w:val="0"/>
          <w:color w:val="auto"/>
          <w:sz w:val="28"/>
          <w:lang w:eastAsia="zh-CN"/>
        </w:rPr>
        <w:t>成都师范学院附属柳河幼儿园操场遮阳网采购项目比选公告</w:t>
      </w:r>
    </w:p>
    <w:p w14:paraId="107F11A8">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宋体" w:hAnsi="宋体" w:eastAsia="宋体" w:cs="宋体"/>
          <w:color w:val="auto"/>
          <w:sz w:val="24"/>
          <w:u w:val="none"/>
        </w:rPr>
      </w:pPr>
      <w:bookmarkStart w:id="0" w:name="_Toc139126570"/>
      <w:bookmarkStart w:id="1" w:name="_Toc139126085"/>
      <w:bookmarkStart w:id="2" w:name="_Toc139102993"/>
      <w:r>
        <w:rPr>
          <w:rFonts w:hint="eastAsia" w:ascii="宋体" w:hAnsi="宋体" w:eastAsia="宋体" w:cs="宋体"/>
          <w:sz w:val="24"/>
        </w:rPr>
        <w:t>四川云灿</w:t>
      </w:r>
      <w:r>
        <w:rPr>
          <w:rFonts w:hint="eastAsia" w:ascii="宋体" w:hAnsi="宋体" w:eastAsia="宋体" w:cs="宋体"/>
          <w:color w:val="auto"/>
          <w:sz w:val="24"/>
          <w:u w:val="none"/>
        </w:rPr>
        <w:t>招标代理有限公司受</w:t>
      </w:r>
      <w:r>
        <w:rPr>
          <w:rFonts w:hint="eastAsia" w:hAnsi="宋体" w:eastAsia="宋体" w:cs="宋体"/>
          <w:color w:val="auto"/>
          <w:sz w:val="24"/>
          <w:u w:val="none"/>
          <w:lang w:eastAsia="zh-CN"/>
        </w:rPr>
        <w:t>成都师范学院附属柳河幼儿园</w:t>
      </w:r>
      <w:r>
        <w:rPr>
          <w:rFonts w:hint="eastAsia" w:ascii="宋体" w:hAnsi="宋体" w:eastAsia="宋体" w:cs="宋体"/>
          <w:color w:val="auto"/>
          <w:sz w:val="24"/>
          <w:u w:val="none"/>
        </w:rPr>
        <w:t>的委托，对</w:t>
      </w:r>
      <w:r>
        <w:rPr>
          <w:rFonts w:hint="eastAsia" w:hAnsi="宋体" w:eastAsia="宋体" w:cs="宋体"/>
          <w:color w:val="auto"/>
          <w:sz w:val="24"/>
          <w:u w:val="none"/>
          <w:lang w:eastAsia="zh-CN"/>
        </w:rPr>
        <w:t>成都师范学院附属柳河幼儿园操场遮阳网采购项目</w:t>
      </w:r>
      <w:r>
        <w:rPr>
          <w:rFonts w:hint="eastAsia" w:ascii="宋体" w:hAnsi="宋体" w:eastAsia="宋体" w:cs="宋体"/>
          <w:color w:val="auto"/>
          <w:sz w:val="24"/>
          <w:u w:val="none"/>
        </w:rPr>
        <w:t>进行</w:t>
      </w:r>
      <w:r>
        <w:rPr>
          <w:rFonts w:hint="eastAsia" w:ascii="宋体" w:hAnsi="宋体" w:eastAsia="宋体" w:cs="宋体"/>
          <w:color w:val="auto"/>
          <w:sz w:val="24"/>
          <w:u w:val="none"/>
          <w:lang w:eastAsia="zh-CN"/>
        </w:rPr>
        <w:t>比选</w:t>
      </w:r>
      <w:r>
        <w:rPr>
          <w:rFonts w:hint="eastAsia" w:ascii="宋体" w:hAnsi="宋体" w:eastAsia="宋体" w:cs="宋体"/>
          <w:color w:val="auto"/>
          <w:sz w:val="24"/>
          <w:u w:val="none"/>
        </w:rPr>
        <w:t>，兹邀请符合要求的</w:t>
      </w:r>
      <w:r>
        <w:rPr>
          <w:rFonts w:hint="eastAsia" w:ascii="宋体" w:hAnsi="宋体" w:eastAsia="宋体" w:cs="宋体"/>
          <w:color w:val="auto"/>
          <w:sz w:val="24"/>
          <w:u w:val="none"/>
          <w:lang w:eastAsia="zh-CN"/>
        </w:rPr>
        <w:t>比选</w:t>
      </w:r>
      <w:r>
        <w:rPr>
          <w:rFonts w:hint="eastAsia" w:ascii="宋体" w:hAnsi="宋体" w:eastAsia="宋体" w:cs="宋体"/>
          <w:color w:val="auto"/>
          <w:sz w:val="24"/>
          <w:u w:val="none"/>
        </w:rPr>
        <w:t>申请人就本项目提交密封的</w:t>
      </w:r>
      <w:r>
        <w:rPr>
          <w:rFonts w:hint="eastAsia" w:ascii="宋体" w:hAnsi="宋体" w:eastAsia="宋体" w:cs="宋体"/>
          <w:color w:val="auto"/>
          <w:sz w:val="24"/>
          <w:u w:val="none"/>
          <w:lang w:eastAsia="zh-CN"/>
        </w:rPr>
        <w:t>比选</w:t>
      </w:r>
      <w:r>
        <w:rPr>
          <w:rFonts w:hint="eastAsia" w:ascii="宋体" w:hAnsi="宋体" w:eastAsia="宋体" w:cs="宋体"/>
          <w:color w:val="auto"/>
          <w:sz w:val="24"/>
          <w:u w:val="none"/>
        </w:rPr>
        <w:t>申请文件。</w:t>
      </w:r>
    </w:p>
    <w:p w14:paraId="5E206385">
      <w:pPr>
        <w:keepNext w:val="0"/>
        <w:keepLines w:val="0"/>
        <w:pageBreakBefore w:val="0"/>
        <w:widowControl w:val="0"/>
        <w:numPr>
          <w:ilvl w:val="0"/>
          <w:numId w:val="0"/>
        </w:numPr>
        <w:kinsoku/>
        <w:wordWrap/>
        <w:overflowPunct/>
        <w:topLinePunct w:val="0"/>
        <w:autoSpaceDE/>
        <w:autoSpaceDN/>
        <w:bidi w:val="0"/>
        <w:adjustRightInd/>
        <w:spacing w:line="440" w:lineRule="exact"/>
        <w:ind w:firstLine="482" w:firstLineChars="200"/>
        <w:contextualSpacing/>
        <w:textAlignment w:val="auto"/>
        <w:rPr>
          <w:rFonts w:hint="eastAsia" w:ascii="宋体" w:hAnsi="宋体" w:eastAsia="宋体" w:cs="宋体"/>
          <w:color w:val="auto"/>
          <w:sz w:val="24"/>
          <w:u w:val="none"/>
        </w:rPr>
      </w:pPr>
      <w:r>
        <w:rPr>
          <w:rFonts w:hint="eastAsia" w:ascii="宋体" w:hAnsi="宋体" w:eastAsia="宋体" w:cs="宋体"/>
          <w:b/>
          <w:bCs/>
          <w:color w:val="auto"/>
          <w:sz w:val="24"/>
          <w:u w:val="none"/>
          <w:lang w:val="en-US" w:eastAsia="zh-CN"/>
        </w:rPr>
        <w:t>一、</w:t>
      </w:r>
      <w:r>
        <w:rPr>
          <w:rFonts w:hint="eastAsia" w:ascii="宋体" w:hAnsi="宋体" w:eastAsia="宋体" w:cs="宋体"/>
          <w:b/>
          <w:bCs/>
          <w:color w:val="auto"/>
          <w:sz w:val="24"/>
          <w:u w:val="none"/>
          <w:lang w:eastAsia="zh-CN"/>
        </w:rPr>
        <w:t>比选</w:t>
      </w:r>
      <w:r>
        <w:rPr>
          <w:rFonts w:hint="eastAsia" w:ascii="宋体" w:hAnsi="宋体" w:eastAsia="宋体" w:cs="宋体"/>
          <w:b/>
          <w:bCs/>
          <w:color w:val="auto"/>
          <w:sz w:val="24"/>
          <w:u w:val="none"/>
        </w:rPr>
        <w:t>人：</w:t>
      </w:r>
      <w:r>
        <w:rPr>
          <w:rFonts w:hint="eastAsia" w:hAnsi="宋体" w:eastAsia="宋体" w:cs="宋体"/>
          <w:color w:val="auto"/>
          <w:sz w:val="24"/>
          <w:u w:val="none"/>
          <w:lang w:eastAsia="zh-CN"/>
        </w:rPr>
        <w:t>成都师范学院附属柳河幼儿园</w:t>
      </w:r>
    </w:p>
    <w:p w14:paraId="48C71522">
      <w:pPr>
        <w:keepNext w:val="0"/>
        <w:keepLines w:val="0"/>
        <w:pageBreakBefore w:val="0"/>
        <w:widowControl w:val="0"/>
        <w:numPr>
          <w:ilvl w:val="0"/>
          <w:numId w:val="0"/>
        </w:numPr>
        <w:kinsoku/>
        <w:wordWrap/>
        <w:overflowPunct/>
        <w:topLinePunct w:val="0"/>
        <w:autoSpaceDE/>
        <w:autoSpaceDN/>
        <w:bidi w:val="0"/>
        <w:adjustRightInd/>
        <w:spacing w:line="440" w:lineRule="exact"/>
        <w:ind w:firstLine="482" w:firstLineChars="200"/>
        <w:contextualSpacing/>
        <w:textAlignment w:val="auto"/>
        <w:rPr>
          <w:rFonts w:hint="default" w:ascii="宋体" w:hAnsi="宋体" w:eastAsia="宋体" w:cs="宋体"/>
          <w:bCs/>
          <w:color w:val="auto"/>
          <w:sz w:val="24"/>
          <w:u w:val="none"/>
          <w:lang w:val="en-US" w:eastAsia="zh-CN"/>
        </w:rPr>
      </w:pPr>
      <w:r>
        <w:rPr>
          <w:rFonts w:hint="eastAsia" w:ascii="宋体" w:hAnsi="宋体" w:eastAsia="宋体" w:cs="宋体"/>
          <w:b/>
          <w:bCs/>
          <w:color w:val="auto"/>
          <w:sz w:val="24"/>
          <w:u w:val="none"/>
          <w:lang w:val="en-US" w:eastAsia="zh-CN"/>
        </w:rPr>
        <w:t>二、</w:t>
      </w:r>
      <w:r>
        <w:rPr>
          <w:rFonts w:hint="eastAsia" w:hAnsi="宋体" w:eastAsia="宋体" w:cs="宋体"/>
          <w:b/>
          <w:bCs/>
          <w:color w:val="auto"/>
          <w:sz w:val="24"/>
          <w:u w:val="none"/>
          <w:lang w:val="en-US" w:eastAsia="zh-CN"/>
        </w:rPr>
        <w:t>比选</w:t>
      </w:r>
      <w:r>
        <w:rPr>
          <w:rFonts w:hint="eastAsia" w:ascii="宋体" w:hAnsi="宋体" w:eastAsia="宋体" w:cs="宋体"/>
          <w:b/>
          <w:bCs/>
          <w:color w:val="auto"/>
          <w:sz w:val="24"/>
          <w:u w:val="none"/>
        </w:rPr>
        <w:t>项目编号</w:t>
      </w:r>
      <w:r>
        <w:rPr>
          <w:rFonts w:hint="eastAsia" w:ascii="宋体" w:hAnsi="宋体" w:eastAsia="宋体" w:cs="宋体"/>
          <w:color w:val="auto"/>
          <w:sz w:val="24"/>
          <w:u w:val="none"/>
        </w:rPr>
        <w:t>：</w:t>
      </w:r>
      <w:r>
        <w:rPr>
          <w:rFonts w:hint="eastAsia" w:hAnsi="宋体" w:eastAsia="宋体" w:cs="宋体"/>
          <w:bCs/>
          <w:color w:val="auto"/>
          <w:sz w:val="24"/>
          <w:u w:val="none"/>
          <w:lang w:eastAsia="zh-CN"/>
        </w:rPr>
        <w:t>SCYC-2026-F155</w:t>
      </w:r>
    </w:p>
    <w:p w14:paraId="2206DAE5">
      <w:pPr>
        <w:keepNext w:val="0"/>
        <w:keepLines w:val="0"/>
        <w:pageBreakBefore w:val="0"/>
        <w:widowControl w:val="0"/>
        <w:kinsoku/>
        <w:wordWrap/>
        <w:overflowPunct/>
        <w:topLinePunct w:val="0"/>
        <w:autoSpaceDE/>
        <w:autoSpaceDN/>
        <w:bidi w:val="0"/>
        <w:adjustRightInd/>
        <w:spacing w:line="440" w:lineRule="exact"/>
        <w:ind w:firstLine="482" w:firstLineChars="200"/>
        <w:contextualSpacing/>
        <w:textAlignment w:val="auto"/>
        <w:rPr>
          <w:rFonts w:hint="eastAsia" w:ascii="宋体" w:hAnsi="宋体" w:eastAsia="宋体" w:cs="宋体"/>
          <w:color w:val="auto"/>
          <w:sz w:val="24"/>
          <w:u w:val="none"/>
          <w:lang w:eastAsia="zh-CN"/>
        </w:rPr>
      </w:pPr>
      <w:r>
        <w:rPr>
          <w:rFonts w:hint="eastAsia" w:ascii="宋体" w:hAnsi="宋体" w:eastAsia="宋体" w:cs="宋体"/>
          <w:b/>
          <w:bCs/>
          <w:color w:val="auto"/>
          <w:sz w:val="24"/>
          <w:u w:val="none"/>
        </w:rPr>
        <w:t>三</w:t>
      </w:r>
      <w:r>
        <w:rPr>
          <w:rFonts w:hint="eastAsia" w:ascii="宋体" w:hAnsi="宋体" w:eastAsia="宋体" w:cs="宋体"/>
          <w:color w:val="auto"/>
          <w:sz w:val="24"/>
          <w:u w:val="none"/>
        </w:rPr>
        <w:t>、</w:t>
      </w:r>
      <w:r>
        <w:rPr>
          <w:rFonts w:hint="eastAsia" w:ascii="宋体" w:hAnsi="宋体" w:eastAsia="宋体" w:cs="宋体"/>
          <w:b/>
          <w:bCs/>
          <w:color w:val="auto"/>
          <w:sz w:val="24"/>
          <w:u w:val="none"/>
          <w:lang w:eastAsia="zh-CN"/>
        </w:rPr>
        <w:t>比选</w:t>
      </w:r>
      <w:r>
        <w:rPr>
          <w:rFonts w:hint="eastAsia" w:ascii="宋体" w:hAnsi="宋体" w:eastAsia="宋体" w:cs="宋体"/>
          <w:b/>
          <w:bCs/>
          <w:color w:val="auto"/>
          <w:sz w:val="24"/>
          <w:u w:val="none"/>
        </w:rPr>
        <w:t>项目名称：</w:t>
      </w:r>
      <w:r>
        <w:rPr>
          <w:rFonts w:hint="eastAsia" w:hAnsi="宋体" w:eastAsia="宋体" w:cs="宋体"/>
          <w:color w:val="auto"/>
          <w:sz w:val="24"/>
          <w:u w:val="none"/>
          <w:lang w:eastAsia="zh-CN"/>
        </w:rPr>
        <w:t>成都师范学院附属柳河幼儿园操场遮阳网采购项目</w:t>
      </w:r>
    </w:p>
    <w:p w14:paraId="7D920926">
      <w:pPr>
        <w:keepNext w:val="0"/>
        <w:keepLines w:val="0"/>
        <w:pageBreakBefore w:val="0"/>
        <w:widowControl w:val="0"/>
        <w:kinsoku/>
        <w:wordWrap/>
        <w:overflowPunct/>
        <w:topLinePunct w:val="0"/>
        <w:autoSpaceDE/>
        <w:autoSpaceDN/>
        <w:bidi w:val="0"/>
        <w:adjustRightInd/>
        <w:spacing w:line="440" w:lineRule="exact"/>
        <w:ind w:firstLine="482" w:firstLineChars="200"/>
        <w:contextualSpacing/>
        <w:textAlignment w:val="auto"/>
        <w:rPr>
          <w:rFonts w:hint="eastAsia" w:ascii="宋体" w:hAnsi="宋体" w:eastAsia="宋体" w:cs="宋体"/>
          <w:color w:val="auto"/>
          <w:sz w:val="24"/>
          <w:u w:val="none"/>
        </w:rPr>
      </w:pPr>
      <w:r>
        <w:rPr>
          <w:rFonts w:hint="eastAsia" w:ascii="宋体" w:hAnsi="宋体" w:eastAsia="宋体" w:cs="宋体"/>
          <w:b/>
          <w:bCs/>
          <w:color w:val="auto"/>
          <w:sz w:val="24"/>
          <w:u w:val="none"/>
          <w:lang w:eastAsia="zh-CN"/>
        </w:rPr>
        <w:t>四、资金来源</w:t>
      </w:r>
      <w:r>
        <w:rPr>
          <w:rFonts w:hint="eastAsia" w:ascii="宋体" w:hAnsi="宋体" w:eastAsia="宋体" w:cs="宋体"/>
          <w:b/>
          <w:bCs/>
          <w:color w:val="auto"/>
          <w:sz w:val="24"/>
          <w:highlight w:val="none"/>
          <w:u w:val="none"/>
          <w:lang w:eastAsia="zh-CN"/>
        </w:rPr>
        <w:t>：</w:t>
      </w:r>
      <w:r>
        <w:rPr>
          <w:rFonts w:hint="eastAsia" w:ascii="宋体" w:hAnsi="宋体" w:eastAsia="宋体" w:cs="宋体"/>
          <w:sz w:val="24"/>
          <w:lang w:val="en-US" w:eastAsia="zh-CN"/>
        </w:rPr>
        <w:t>财政资金5万元</w:t>
      </w:r>
      <w:r>
        <w:rPr>
          <w:rFonts w:hint="eastAsia" w:ascii="宋体" w:hAnsi="宋体" w:eastAsia="宋体" w:cs="宋体"/>
          <w:sz w:val="24"/>
        </w:rPr>
        <w:t>，已落实</w:t>
      </w:r>
      <w:r>
        <w:rPr>
          <w:rFonts w:hint="eastAsia" w:ascii="宋体" w:hAnsi="宋体" w:eastAsia="宋体" w:cs="宋体"/>
          <w:color w:val="auto"/>
          <w:sz w:val="24"/>
          <w:u w:val="none"/>
          <w:lang w:val="en-US" w:eastAsia="zh-CN"/>
        </w:rPr>
        <w:t>。</w:t>
      </w:r>
    </w:p>
    <w:p w14:paraId="1AB8C7EB">
      <w:pPr>
        <w:keepNext w:val="0"/>
        <w:keepLines w:val="0"/>
        <w:pageBreakBefore w:val="0"/>
        <w:widowControl w:val="0"/>
        <w:kinsoku/>
        <w:wordWrap/>
        <w:overflowPunct/>
        <w:topLinePunct w:val="0"/>
        <w:autoSpaceDE/>
        <w:autoSpaceDN/>
        <w:bidi w:val="0"/>
        <w:adjustRightInd/>
        <w:spacing w:line="44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auto"/>
          <w:sz w:val="24"/>
          <w:u w:val="none"/>
          <w:lang w:eastAsia="zh-CN"/>
        </w:rPr>
        <w:t>五、</w:t>
      </w:r>
      <w:r>
        <w:rPr>
          <w:rFonts w:hint="eastAsia" w:ascii="宋体" w:hAnsi="宋体" w:eastAsia="宋体" w:cs="宋体"/>
          <w:b/>
          <w:bCs/>
          <w:color w:val="auto"/>
          <w:sz w:val="24"/>
          <w:u w:val="none"/>
        </w:rPr>
        <w:t>项目情况：</w:t>
      </w:r>
      <w:r>
        <w:rPr>
          <w:rFonts w:hint="eastAsia" w:hAnsi="宋体" w:eastAsia="宋体" w:cs="宋体"/>
          <w:color w:val="auto"/>
          <w:sz w:val="24"/>
          <w:u w:val="none"/>
          <w:lang w:eastAsia="zh-CN"/>
        </w:rPr>
        <w:t>成都师范学院附属柳河幼儿园操场遮阳网采购项目</w:t>
      </w:r>
      <w:r>
        <w:rPr>
          <w:rFonts w:hint="eastAsia" w:ascii="宋体" w:hAnsi="宋体" w:eastAsia="宋体" w:cs="宋体"/>
          <w:b w:val="0"/>
          <w:bCs/>
          <w:color w:val="auto"/>
          <w:kern w:val="2"/>
          <w:sz w:val="24"/>
          <w:szCs w:val="24"/>
          <w:highlight w:val="none"/>
          <w:u w:val="none"/>
          <w:lang w:val="en-US" w:eastAsia="zh-CN"/>
        </w:rPr>
        <w:t>。</w:t>
      </w:r>
    </w:p>
    <w:p w14:paraId="01B46EE5">
      <w:pPr>
        <w:keepNext w:val="0"/>
        <w:keepLines w:val="0"/>
        <w:pageBreakBefore w:val="0"/>
        <w:widowControl w:val="0"/>
        <w:kinsoku/>
        <w:wordWrap/>
        <w:overflowPunct/>
        <w:topLinePunct w:val="0"/>
        <w:autoSpaceDE/>
        <w:autoSpaceDN/>
        <w:bidi w:val="0"/>
        <w:adjustRightInd/>
        <w:spacing w:line="440" w:lineRule="exact"/>
        <w:ind w:firstLine="480" w:firstLineChars="200"/>
        <w:jc w:val="both"/>
        <w:textAlignment w:val="auto"/>
        <w:rPr>
          <w:rFonts w:hint="eastAsia" w:ascii="宋体" w:hAnsi="宋体" w:eastAsia="宋体" w:cs="宋体"/>
          <w:bCs/>
          <w:color w:val="FF0000"/>
          <w:sz w:val="24"/>
          <w:u w:val="none"/>
        </w:rPr>
      </w:pPr>
      <w:r>
        <w:rPr>
          <w:rFonts w:hint="eastAsia" w:ascii="宋体" w:hAnsi="宋体" w:eastAsia="宋体" w:cs="宋体"/>
          <w:sz w:val="24"/>
        </w:rPr>
        <w:t>具体内容见</w:t>
      </w:r>
      <w:r>
        <w:rPr>
          <w:rFonts w:hint="eastAsia" w:ascii="宋体" w:hAnsi="宋体" w:eastAsia="宋体" w:cs="宋体"/>
          <w:sz w:val="24"/>
          <w:lang w:eastAsia="zh-CN"/>
        </w:rPr>
        <w:t>比选</w:t>
      </w:r>
      <w:r>
        <w:rPr>
          <w:rFonts w:hint="eastAsia" w:ascii="宋体" w:hAnsi="宋体" w:eastAsia="宋体" w:cs="宋体"/>
          <w:sz w:val="24"/>
        </w:rPr>
        <w:t>文件第五部分：“项目概况及要求”。</w:t>
      </w:r>
    </w:p>
    <w:p w14:paraId="65DC391C">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宋体" w:hAnsi="宋体" w:eastAsia="宋体" w:cs="宋体"/>
          <w:sz w:val="24"/>
        </w:rPr>
      </w:pPr>
      <w:r>
        <w:rPr>
          <w:rFonts w:hint="eastAsia" w:ascii="宋体" w:hAnsi="宋体" w:eastAsia="宋体" w:cs="宋体"/>
          <w:sz w:val="24"/>
          <w:lang w:eastAsia="zh-CN"/>
        </w:rPr>
        <w:t>比选</w:t>
      </w:r>
      <w:r>
        <w:rPr>
          <w:rFonts w:hint="eastAsia" w:ascii="宋体" w:hAnsi="宋体" w:eastAsia="宋体" w:cs="宋体"/>
          <w:sz w:val="24"/>
        </w:rPr>
        <w:t>申请人须对本项目的内容应作出实质性响应并对</w:t>
      </w:r>
      <w:r>
        <w:rPr>
          <w:rFonts w:hint="eastAsia" w:ascii="宋体" w:hAnsi="宋体" w:eastAsia="宋体" w:cs="宋体"/>
          <w:sz w:val="24"/>
          <w:lang w:eastAsia="zh-CN"/>
        </w:rPr>
        <w:t>比选</w:t>
      </w:r>
      <w:r>
        <w:rPr>
          <w:rFonts w:hint="eastAsia" w:ascii="宋体" w:hAnsi="宋体" w:eastAsia="宋体" w:cs="宋体"/>
          <w:sz w:val="24"/>
        </w:rPr>
        <w:t>文件要求的全部内容进行报价。</w:t>
      </w:r>
    </w:p>
    <w:p w14:paraId="19D4ADAF">
      <w:pPr>
        <w:keepNext w:val="0"/>
        <w:keepLines w:val="0"/>
        <w:pageBreakBefore w:val="0"/>
        <w:widowControl w:val="0"/>
        <w:kinsoku/>
        <w:wordWrap/>
        <w:overflowPunct/>
        <w:topLinePunct w:val="0"/>
        <w:autoSpaceDE/>
        <w:autoSpaceDN/>
        <w:bidi w:val="0"/>
        <w:adjustRightInd/>
        <w:spacing w:line="440" w:lineRule="exact"/>
        <w:ind w:firstLine="482" w:firstLineChars="200"/>
        <w:contextualSpacing/>
        <w:textAlignment w:val="auto"/>
        <w:rPr>
          <w:rFonts w:hint="eastAsia" w:ascii="宋体" w:hAnsi="宋体" w:eastAsia="宋体" w:cs="宋体"/>
          <w:sz w:val="24"/>
        </w:rPr>
      </w:pPr>
      <w:r>
        <w:rPr>
          <w:rFonts w:hint="eastAsia" w:ascii="宋体" w:hAnsi="宋体" w:eastAsia="宋体" w:cs="宋体"/>
          <w:b/>
          <w:bCs/>
          <w:sz w:val="24"/>
          <w:lang w:eastAsia="zh-CN"/>
        </w:rPr>
        <w:t>六</w:t>
      </w:r>
      <w:r>
        <w:rPr>
          <w:rFonts w:hint="eastAsia" w:ascii="宋体" w:hAnsi="宋体" w:eastAsia="宋体" w:cs="宋体"/>
          <w:b/>
          <w:bCs/>
          <w:sz w:val="24"/>
        </w:rPr>
        <w:t>、</w:t>
      </w:r>
      <w:r>
        <w:rPr>
          <w:rFonts w:hint="eastAsia" w:ascii="宋体" w:hAnsi="宋体" w:eastAsia="宋体" w:cs="宋体"/>
          <w:b/>
          <w:bCs/>
          <w:sz w:val="24"/>
          <w:lang w:eastAsia="zh-CN"/>
        </w:rPr>
        <w:t>比选</w:t>
      </w:r>
      <w:r>
        <w:rPr>
          <w:rFonts w:hint="eastAsia" w:ascii="宋体" w:hAnsi="宋体" w:eastAsia="宋体" w:cs="宋体"/>
          <w:b/>
          <w:bCs/>
          <w:sz w:val="24"/>
        </w:rPr>
        <w:t>申请人资格条件</w:t>
      </w:r>
      <w:r>
        <w:rPr>
          <w:rFonts w:hint="eastAsia" w:ascii="宋体" w:hAnsi="宋体" w:eastAsia="宋体" w:cs="宋体"/>
          <w:sz w:val="24"/>
        </w:rPr>
        <w:t>：</w:t>
      </w:r>
    </w:p>
    <w:p w14:paraId="6ED4BEA7">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jc w:val="left"/>
        <w:textAlignment w:val="auto"/>
        <w:rPr>
          <w:rFonts w:hint="eastAsia" w:ascii="宋体" w:hAnsi="宋体" w:eastAsia="宋体" w:cs="宋体"/>
          <w:bCs/>
          <w:color w:val="auto"/>
          <w:sz w:val="24"/>
          <w:lang w:eastAsia="zh-CN"/>
        </w:rPr>
      </w:pPr>
      <w:r>
        <w:rPr>
          <w:rFonts w:hint="eastAsia" w:hAnsi="宋体" w:eastAsia="宋体" w:cs="宋体"/>
          <w:bCs/>
          <w:color w:val="auto"/>
          <w:sz w:val="24"/>
          <w:lang w:eastAsia="zh-CN"/>
        </w:rPr>
        <w:t>（</w:t>
      </w:r>
      <w:r>
        <w:rPr>
          <w:rFonts w:hint="eastAsia" w:hAnsi="宋体" w:eastAsia="宋体" w:cs="宋体"/>
          <w:bCs/>
          <w:color w:val="auto"/>
          <w:sz w:val="24"/>
          <w:lang w:val="en-US" w:eastAsia="zh-CN"/>
        </w:rPr>
        <w:t>一</w:t>
      </w:r>
      <w:r>
        <w:rPr>
          <w:rFonts w:hint="eastAsia" w:hAnsi="宋体" w:eastAsia="宋体" w:cs="宋体"/>
          <w:bCs/>
          <w:color w:val="auto"/>
          <w:sz w:val="24"/>
          <w:lang w:eastAsia="zh-CN"/>
        </w:rPr>
        <w:t>）</w:t>
      </w:r>
      <w:r>
        <w:rPr>
          <w:rFonts w:hint="eastAsia" w:ascii="宋体" w:hAnsi="宋体" w:eastAsia="宋体" w:cs="宋体"/>
          <w:bCs/>
          <w:color w:val="auto"/>
          <w:sz w:val="24"/>
          <w:lang w:eastAsia="zh-CN"/>
        </w:rPr>
        <w:t>比选</w:t>
      </w:r>
      <w:r>
        <w:rPr>
          <w:rFonts w:hint="eastAsia" w:ascii="宋体" w:hAnsi="宋体" w:eastAsia="宋体" w:cs="宋体"/>
          <w:bCs/>
          <w:color w:val="auto"/>
          <w:sz w:val="24"/>
        </w:rPr>
        <w:t>申请人应符合参加本次</w:t>
      </w:r>
      <w:r>
        <w:rPr>
          <w:rFonts w:hint="eastAsia" w:ascii="宋体" w:hAnsi="宋体" w:eastAsia="宋体" w:cs="宋体"/>
          <w:bCs/>
          <w:color w:val="auto"/>
          <w:sz w:val="24"/>
          <w:lang w:eastAsia="zh-CN"/>
        </w:rPr>
        <w:t>比选</w:t>
      </w:r>
      <w:r>
        <w:rPr>
          <w:rFonts w:hint="eastAsia" w:ascii="宋体" w:hAnsi="宋体" w:eastAsia="宋体" w:cs="宋体"/>
          <w:bCs/>
          <w:color w:val="auto"/>
          <w:sz w:val="24"/>
        </w:rPr>
        <w:t>活动应当具备的条件</w:t>
      </w:r>
      <w:r>
        <w:rPr>
          <w:rFonts w:hint="eastAsia" w:ascii="宋体" w:hAnsi="宋体" w:eastAsia="宋体" w:cs="宋体"/>
          <w:bCs/>
          <w:color w:val="auto"/>
          <w:sz w:val="24"/>
          <w:lang w:eastAsia="zh-CN"/>
        </w:rPr>
        <w:t>：</w:t>
      </w:r>
    </w:p>
    <w:p w14:paraId="279992BF">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jc w:val="left"/>
        <w:textAlignment w:val="auto"/>
        <w:rPr>
          <w:rFonts w:hint="eastAsia" w:ascii="宋体" w:hAnsi="宋体" w:eastAsia="宋体" w:cs="宋体"/>
          <w:bCs/>
          <w:color w:val="auto"/>
          <w:sz w:val="24"/>
        </w:rPr>
      </w:pPr>
      <w:r>
        <w:rPr>
          <w:rFonts w:hint="eastAsia" w:ascii="宋体" w:hAnsi="宋体" w:eastAsia="宋体" w:cs="宋体"/>
          <w:bCs/>
          <w:color w:val="auto"/>
          <w:sz w:val="24"/>
        </w:rPr>
        <w:t>1</w:t>
      </w:r>
      <w:r>
        <w:rPr>
          <w:rFonts w:hint="eastAsia" w:hAnsi="宋体" w:eastAsia="宋体" w:cs="宋体"/>
          <w:bCs/>
          <w:color w:val="auto"/>
          <w:sz w:val="24"/>
          <w:lang w:val="en-US" w:eastAsia="zh-CN"/>
        </w:rPr>
        <w:t>.</w:t>
      </w:r>
      <w:r>
        <w:rPr>
          <w:rFonts w:hint="eastAsia" w:ascii="宋体" w:hAnsi="宋体" w:eastAsia="宋体" w:cs="宋体"/>
          <w:bCs/>
          <w:color w:val="auto"/>
          <w:sz w:val="24"/>
        </w:rPr>
        <w:t>具有独立承担民事责任的能力；</w:t>
      </w:r>
    </w:p>
    <w:p w14:paraId="3A170444">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jc w:val="left"/>
        <w:textAlignment w:val="auto"/>
        <w:rPr>
          <w:rFonts w:hint="eastAsia" w:ascii="宋体" w:hAnsi="宋体" w:eastAsia="宋体" w:cs="宋体"/>
          <w:bCs/>
          <w:color w:val="auto"/>
          <w:sz w:val="24"/>
        </w:rPr>
      </w:pPr>
      <w:r>
        <w:rPr>
          <w:rFonts w:hint="eastAsia" w:ascii="宋体" w:hAnsi="宋体" w:eastAsia="宋体" w:cs="宋体"/>
          <w:bCs/>
          <w:color w:val="auto"/>
          <w:sz w:val="24"/>
        </w:rPr>
        <w:t>2</w:t>
      </w:r>
      <w:r>
        <w:rPr>
          <w:rFonts w:hint="eastAsia" w:hAnsi="宋体" w:eastAsia="宋体" w:cs="宋体"/>
          <w:bCs/>
          <w:color w:val="auto"/>
          <w:sz w:val="24"/>
          <w:lang w:val="en-US" w:eastAsia="zh-CN"/>
        </w:rPr>
        <w:t>.</w:t>
      </w:r>
      <w:r>
        <w:rPr>
          <w:rFonts w:hint="eastAsia" w:ascii="宋体" w:hAnsi="宋体" w:eastAsia="宋体" w:cs="宋体"/>
          <w:bCs/>
          <w:color w:val="auto"/>
          <w:sz w:val="24"/>
        </w:rPr>
        <w:t>具有良好的商业信誉和健全的财务会计制度；</w:t>
      </w:r>
    </w:p>
    <w:p w14:paraId="20893E00">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jc w:val="left"/>
        <w:textAlignment w:val="auto"/>
        <w:rPr>
          <w:rFonts w:hint="eastAsia" w:ascii="宋体" w:hAnsi="宋体" w:eastAsia="宋体" w:cs="宋体"/>
          <w:bCs/>
          <w:color w:val="auto"/>
          <w:sz w:val="24"/>
          <w:lang w:val="en-US" w:eastAsia="zh-CN"/>
        </w:rPr>
      </w:pPr>
      <w:r>
        <w:rPr>
          <w:rFonts w:hint="eastAsia" w:ascii="宋体" w:hAnsi="宋体" w:eastAsia="宋体" w:cs="宋体"/>
          <w:bCs/>
          <w:color w:val="auto"/>
          <w:sz w:val="24"/>
        </w:rPr>
        <w:t>3</w:t>
      </w:r>
      <w:r>
        <w:rPr>
          <w:rFonts w:hint="eastAsia" w:hAnsi="宋体" w:eastAsia="宋体" w:cs="宋体"/>
          <w:bCs/>
          <w:color w:val="auto"/>
          <w:sz w:val="24"/>
          <w:lang w:val="en-US" w:eastAsia="zh-CN"/>
        </w:rPr>
        <w:t>.</w:t>
      </w:r>
      <w:r>
        <w:rPr>
          <w:rFonts w:hint="eastAsia" w:ascii="宋体" w:hAnsi="宋体" w:eastAsia="宋体" w:cs="宋体"/>
          <w:bCs/>
          <w:color w:val="auto"/>
          <w:sz w:val="24"/>
        </w:rPr>
        <w:t>具有履行合同所必</w:t>
      </w:r>
      <w:r>
        <w:rPr>
          <w:rFonts w:hint="eastAsia" w:ascii="宋体" w:hAnsi="宋体" w:eastAsia="宋体" w:cs="宋体"/>
          <w:bCs/>
          <w:color w:val="auto"/>
          <w:sz w:val="24"/>
          <w:lang w:eastAsia="zh-CN"/>
        </w:rPr>
        <w:t>需</w:t>
      </w:r>
      <w:r>
        <w:rPr>
          <w:rFonts w:hint="eastAsia" w:ascii="宋体" w:hAnsi="宋体" w:eastAsia="宋体" w:cs="宋体"/>
          <w:bCs/>
          <w:color w:val="auto"/>
          <w:sz w:val="24"/>
        </w:rPr>
        <w:t>的设备和专业技术能力；</w:t>
      </w:r>
      <w:r>
        <w:rPr>
          <w:rFonts w:hint="eastAsia" w:ascii="宋体" w:hAnsi="宋体" w:eastAsia="宋体" w:cs="宋体"/>
          <w:bCs/>
          <w:color w:val="auto"/>
          <w:sz w:val="24"/>
          <w:lang w:val="en-US" w:eastAsia="zh-CN"/>
        </w:rPr>
        <w:t xml:space="preserve"> </w:t>
      </w:r>
    </w:p>
    <w:p w14:paraId="6EDBBB73">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jc w:val="left"/>
        <w:textAlignment w:val="auto"/>
        <w:rPr>
          <w:rFonts w:hint="eastAsia" w:ascii="宋体" w:hAnsi="宋体" w:eastAsia="宋体" w:cs="宋体"/>
          <w:bCs/>
          <w:color w:val="auto"/>
          <w:sz w:val="24"/>
        </w:rPr>
      </w:pPr>
      <w:r>
        <w:rPr>
          <w:rFonts w:hint="eastAsia" w:ascii="宋体" w:hAnsi="宋体" w:eastAsia="宋体" w:cs="宋体"/>
          <w:bCs/>
          <w:color w:val="auto"/>
          <w:sz w:val="24"/>
        </w:rPr>
        <w:t>4</w:t>
      </w:r>
      <w:r>
        <w:rPr>
          <w:rFonts w:hint="eastAsia" w:hAnsi="宋体" w:eastAsia="宋体" w:cs="宋体"/>
          <w:bCs/>
          <w:color w:val="auto"/>
          <w:sz w:val="24"/>
          <w:lang w:val="en-US" w:eastAsia="zh-CN"/>
        </w:rPr>
        <w:t>.</w:t>
      </w:r>
      <w:r>
        <w:rPr>
          <w:rFonts w:hint="eastAsia" w:ascii="宋体" w:hAnsi="宋体" w:eastAsia="宋体" w:cs="宋体"/>
          <w:bCs/>
          <w:color w:val="auto"/>
          <w:sz w:val="24"/>
        </w:rPr>
        <w:t>具有依法缴纳税收和社会保障资金的良好记录；</w:t>
      </w:r>
    </w:p>
    <w:p w14:paraId="1717718E">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jc w:val="left"/>
        <w:textAlignment w:val="auto"/>
        <w:rPr>
          <w:rFonts w:hint="eastAsia" w:ascii="宋体" w:hAnsi="宋体" w:eastAsia="宋体" w:cs="宋体"/>
          <w:bCs/>
          <w:color w:val="auto"/>
          <w:sz w:val="24"/>
        </w:rPr>
      </w:pPr>
      <w:r>
        <w:rPr>
          <w:rFonts w:hint="eastAsia" w:ascii="宋体" w:hAnsi="宋体" w:eastAsia="宋体" w:cs="宋体"/>
          <w:bCs/>
          <w:color w:val="auto"/>
          <w:sz w:val="24"/>
        </w:rPr>
        <w:t>5</w:t>
      </w:r>
      <w:r>
        <w:rPr>
          <w:rFonts w:hint="eastAsia" w:hAnsi="宋体" w:eastAsia="宋体" w:cs="宋体"/>
          <w:bCs/>
          <w:color w:val="auto"/>
          <w:sz w:val="24"/>
          <w:lang w:val="en-US" w:eastAsia="zh-CN"/>
        </w:rPr>
        <w:t>.</w:t>
      </w:r>
      <w:r>
        <w:rPr>
          <w:rFonts w:hint="eastAsia" w:ascii="宋体" w:hAnsi="宋体" w:eastAsia="宋体" w:cs="宋体"/>
          <w:bCs/>
          <w:color w:val="auto"/>
          <w:sz w:val="24"/>
        </w:rPr>
        <w:t>参加本次采购活动前三年内，在经营活动中没有重大违法记录；</w:t>
      </w:r>
    </w:p>
    <w:p w14:paraId="6793EB8E">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jc w:val="left"/>
        <w:textAlignment w:val="auto"/>
        <w:rPr>
          <w:rFonts w:hint="eastAsia" w:ascii="宋体" w:hAnsi="宋体" w:eastAsia="宋体" w:cs="宋体"/>
          <w:bCs/>
          <w:color w:val="auto"/>
          <w:sz w:val="24"/>
          <w:lang w:val="en-US" w:eastAsia="zh-CN"/>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w:t>
      </w:r>
      <w:r>
        <w:rPr>
          <w:rFonts w:hint="eastAsia" w:ascii="宋体" w:hAnsi="宋体" w:eastAsia="宋体" w:cs="宋体"/>
          <w:bCs/>
          <w:color w:val="auto"/>
          <w:sz w:val="24"/>
        </w:rPr>
        <w:t>法律、行政法规规定的其他条件</w:t>
      </w:r>
      <w:r>
        <w:rPr>
          <w:rFonts w:hint="eastAsia" w:ascii="宋体" w:hAnsi="宋体" w:eastAsia="宋体" w:cs="宋体"/>
          <w:bCs/>
          <w:color w:val="auto"/>
          <w:sz w:val="24"/>
          <w:lang w:val="en-US" w:eastAsia="zh-CN"/>
        </w:rPr>
        <w:t>。</w:t>
      </w:r>
    </w:p>
    <w:p w14:paraId="016B6D37">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jc w:val="left"/>
        <w:textAlignment w:val="auto"/>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（二）本项目不接受联合体参与采购活动。</w:t>
      </w:r>
    </w:p>
    <w:p w14:paraId="49449498">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contextualSpacing/>
        <w:jc w:val="left"/>
        <w:textAlignment w:val="auto"/>
        <w:rPr>
          <w:rFonts w:hint="eastAsia" w:ascii="宋体" w:hAnsi="宋体" w:eastAsia="宋体" w:cs="宋体"/>
          <w:b/>
          <w:bCs/>
          <w:sz w:val="24"/>
        </w:rPr>
      </w:pPr>
      <w:r>
        <w:rPr>
          <w:rFonts w:hint="eastAsia" w:ascii="宋体" w:hAnsi="宋体" w:eastAsia="宋体" w:cs="宋体"/>
          <w:b/>
          <w:bCs/>
          <w:sz w:val="24"/>
          <w:lang w:eastAsia="zh-CN"/>
        </w:rPr>
        <w:t>七</w:t>
      </w:r>
      <w:r>
        <w:rPr>
          <w:rFonts w:hint="eastAsia" w:ascii="宋体" w:hAnsi="宋体" w:eastAsia="宋体" w:cs="宋体"/>
          <w:b/>
          <w:bCs/>
          <w:sz w:val="24"/>
        </w:rPr>
        <w:t>、</w:t>
      </w:r>
      <w:r>
        <w:rPr>
          <w:rFonts w:hint="eastAsia" w:ascii="宋体" w:hAnsi="宋体" w:eastAsia="宋体" w:cs="宋体"/>
          <w:b/>
          <w:bCs/>
          <w:color w:val="auto"/>
          <w:sz w:val="24"/>
          <w:lang w:val="en-US" w:eastAsia="zh-CN"/>
        </w:rPr>
        <w:t>禁止参加采购活动的供应商</w:t>
      </w:r>
    </w:p>
    <w:p w14:paraId="52A3C01E">
      <w:pPr>
        <w:keepNext w:val="0"/>
        <w:pageBreakBefore w:val="0"/>
        <w:widowControl w:val="0"/>
        <w:kinsoku w:val="0"/>
        <w:overflowPunct w:val="0"/>
        <w:topLinePunct w:val="0"/>
        <w:autoSpaceDE w:val="0"/>
        <w:autoSpaceDN w:val="0"/>
        <w:bidi w:val="0"/>
        <w:adjustRightInd/>
        <w:snapToGrid w:val="0"/>
        <w:spacing w:line="440" w:lineRule="exact"/>
        <w:ind w:firstLine="480" w:firstLineChars="200"/>
        <w:contextualSpacing/>
        <w:textAlignment w:val="auto"/>
        <w:rPr>
          <w:rFonts w:hint="eastAsia" w:ascii="宋体" w:hAnsi="宋体" w:eastAsia="宋体" w:cs="宋体"/>
          <w:bCs/>
          <w:color w:val="auto"/>
          <w:sz w:val="24"/>
          <w:lang w:val="en-US" w:eastAsia="zh-CN"/>
        </w:rPr>
      </w:pPr>
      <w:r>
        <w:rPr>
          <w:rFonts w:hint="eastAsia" w:ascii="宋体" w:hAnsi="宋体" w:eastAsia="宋体" w:cs="宋体"/>
          <w:bCs/>
          <w:sz w:val="24"/>
        </w:rPr>
        <w:t>参照《关于在政府采购活动中查询及使用信用记录有关问题的通知》（财库〔2016〕125号）的要求，采购代理机构将通过“信用中国”网站（www.creditchina.gov.cn）、“中国政府采购网”网站（www.ccgp.gov.cn）等渠道查询供应商在采购公告发布之日前的信用记录并保存信用记录结果网页截图，拒绝列入失信被执行人、重大税收违法案件当事人名单、政府采购严重违法失信行为记录名单中的供应商参加本项目的采购活动。</w:t>
      </w:r>
    </w:p>
    <w:bookmarkEnd w:id="0"/>
    <w:bookmarkEnd w:id="1"/>
    <w:bookmarkEnd w:id="2"/>
    <w:p w14:paraId="0BC12C70">
      <w:pPr>
        <w:snapToGrid w:val="0"/>
        <w:spacing w:line="480" w:lineRule="exact"/>
        <w:ind w:firstLine="482" w:firstLineChars="200"/>
        <w:contextualSpacing/>
        <w:jc w:val="left"/>
        <w:rPr>
          <w:rFonts w:ascii="Times New Roman"/>
          <w:b/>
          <w:bCs/>
          <w:sz w:val="24"/>
        </w:rPr>
      </w:pPr>
      <w:r>
        <w:rPr>
          <w:rFonts w:ascii="Times New Roman"/>
          <w:b/>
          <w:bCs/>
          <w:sz w:val="24"/>
        </w:rPr>
        <w:t>八、比选文件发售时间及地点</w:t>
      </w:r>
    </w:p>
    <w:p w14:paraId="66D61643">
      <w:pPr>
        <w:tabs>
          <w:tab w:val="left" w:pos="1080"/>
        </w:tabs>
        <w:snapToGrid w:val="0"/>
        <w:spacing w:line="480" w:lineRule="exact"/>
        <w:ind w:firstLine="482"/>
        <w:jc w:val="left"/>
        <w:rPr>
          <w:rFonts w:ascii="Times New Roman"/>
          <w:color w:val="auto"/>
          <w:kern w:val="2"/>
          <w:sz w:val="24"/>
          <w:szCs w:val="24"/>
          <w:highlight w:val="none"/>
        </w:rPr>
      </w:pPr>
      <w:r>
        <w:rPr>
          <w:rFonts w:ascii="Times New Roman"/>
          <w:color w:val="000000"/>
          <w:sz w:val="24"/>
        </w:rPr>
        <w:t>1、</w:t>
      </w:r>
      <w:r>
        <w:rPr>
          <w:rFonts w:ascii="Times New Roman"/>
          <w:kern w:val="2"/>
          <w:sz w:val="24"/>
          <w:szCs w:val="24"/>
        </w:rPr>
        <w:t>现</w:t>
      </w:r>
      <w:r>
        <w:rPr>
          <w:rFonts w:ascii="Times New Roman"/>
          <w:color w:val="auto"/>
          <w:kern w:val="2"/>
          <w:sz w:val="24"/>
          <w:szCs w:val="24"/>
          <w:highlight w:val="none"/>
        </w:rPr>
        <w:t>场报名方式</w:t>
      </w:r>
    </w:p>
    <w:p w14:paraId="443CEE19">
      <w:pPr>
        <w:tabs>
          <w:tab w:val="left" w:pos="1080"/>
        </w:tabs>
        <w:snapToGrid w:val="0"/>
        <w:spacing w:line="480" w:lineRule="exact"/>
        <w:ind w:firstLine="482"/>
        <w:jc w:val="left"/>
        <w:rPr>
          <w:rFonts w:ascii="Times New Roman"/>
          <w:color w:val="auto"/>
          <w:kern w:val="2"/>
          <w:sz w:val="24"/>
          <w:szCs w:val="24"/>
          <w:highlight w:val="none"/>
        </w:rPr>
      </w:pPr>
      <w:r>
        <w:rPr>
          <w:rFonts w:ascii="Times New Roman"/>
          <w:color w:val="auto"/>
          <w:kern w:val="2"/>
          <w:sz w:val="24"/>
          <w:szCs w:val="24"/>
          <w:highlight w:val="none"/>
        </w:rPr>
        <w:t>比选文件自2026年</w:t>
      </w:r>
      <w:r>
        <w:rPr>
          <w:rFonts w:hint="eastAsia" w:ascii="Times New Roman"/>
          <w:color w:val="auto"/>
          <w:kern w:val="2"/>
          <w:sz w:val="24"/>
          <w:szCs w:val="24"/>
          <w:highlight w:val="none"/>
          <w:lang w:val="en-US" w:eastAsia="zh-CN"/>
        </w:rPr>
        <w:t>6</w:t>
      </w:r>
      <w:r>
        <w:rPr>
          <w:rFonts w:ascii="Times New Roman"/>
          <w:color w:val="auto"/>
          <w:kern w:val="2"/>
          <w:sz w:val="24"/>
          <w:szCs w:val="24"/>
          <w:highlight w:val="none"/>
        </w:rPr>
        <w:t>月</w:t>
      </w:r>
      <w:r>
        <w:rPr>
          <w:rFonts w:hint="eastAsia" w:ascii="Times New Roman"/>
          <w:color w:val="auto"/>
          <w:kern w:val="2"/>
          <w:sz w:val="24"/>
          <w:szCs w:val="24"/>
          <w:highlight w:val="none"/>
          <w:lang w:val="en-US" w:eastAsia="zh-CN"/>
        </w:rPr>
        <w:t>11</w:t>
      </w:r>
      <w:r>
        <w:rPr>
          <w:rFonts w:ascii="Times New Roman"/>
          <w:color w:val="auto"/>
          <w:kern w:val="2"/>
          <w:sz w:val="24"/>
          <w:szCs w:val="24"/>
          <w:highlight w:val="none"/>
        </w:rPr>
        <w:t>日至2026年</w:t>
      </w:r>
      <w:r>
        <w:rPr>
          <w:rFonts w:hint="eastAsia" w:ascii="Times New Roman"/>
          <w:color w:val="auto"/>
          <w:kern w:val="2"/>
          <w:sz w:val="24"/>
          <w:szCs w:val="24"/>
          <w:highlight w:val="none"/>
          <w:lang w:val="en-US" w:eastAsia="zh-CN"/>
        </w:rPr>
        <w:t>6</w:t>
      </w:r>
      <w:r>
        <w:rPr>
          <w:rFonts w:ascii="Times New Roman"/>
          <w:color w:val="auto"/>
          <w:kern w:val="2"/>
          <w:sz w:val="24"/>
          <w:szCs w:val="24"/>
          <w:highlight w:val="none"/>
        </w:rPr>
        <w:t>月</w:t>
      </w:r>
      <w:r>
        <w:rPr>
          <w:rFonts w:hint="eastAsia" w:ascii="Times New Roman"/>
          <w:color w:val="auto"/>
          <w:kern w:val="2"/>
          <w:sz w:val="24"/>
          <w:szCs w:val="24"/>
          <w:highlight w:val="none"/>
          <w:lang w:val="en-US" w:eastAsia="zh-CN"/>
        </w:rPr>
        <w:t>12</w:t>
      </w:r>
      <w:r>
        <w:rPr>
          <w:rFonts w:ascii="Times New Roman"/>
          <w:color w:val="auto"/>
          <w:kern w:val="2"/>
          <w:sz w:val="24"/>
          <w:szCs w:val="24"/>
          <w:highlight w:val="none"/>
        </w:rPr>
        <w:t>日9：00-17：00（北京时间，法定节假日除外）在成都市青羊区光华北三路98号18栋17层07号(光华中心A座1707)获取。</w:t>
      </w:r>
    </w:p>
    <w:p w14:paraId="23F6FAFA">
      <w:pPr>
        <w:tabs>
          <w:tab w:val="left" w:pos="1080"/>
        </w:tabs>
        <w:snapToGrid w:val="0"/>
        <w:spacing w:line="480" w:lineRule="exact"/>
        <w:ind w:firstLine="482"/>
        <w:jc w:val="left"/>
        <w:rPr>
          <w:rFonts w:ascii="Times New Roman"/>
          <w:color w:val="auto"/>
          <w:kern w:val="2"/>
          <w:sz w:val="24"/>
          <w:szCs w:val="24"/>
          <w:highlight w:val="none"/>
        </w:rPr>
      </w:pPr>
      <w:r>
        <w:rPr>
          <w:rFonts w:ascii="Times New Roman"/>
          <w:color w:val="auto"/>
          <w:kern w:val="2"/>
          <w:sz w:val="24"/>
          <w:szCs w:val="24"/>
          <w:highlight w:val="none"/>
        </w:rPr>
        <w:t>获取比选文件时，经办人员当场提交以下资料：供应商为法人或者其他组织的，只需提供单位介绍信原件、经办人身份证明复印件；供应商为自然人的，只需提供本人身份证明复印件（均需加盖供应商公章）。</w:t>
      </w:r>
    </w:p>
    <w:p w14:paraId="40E02528">
      <w:pPr>
        <w:tabs>
          <w:tab w:val="left" w:pos="1080"/>
        </w:tabs>
        <w:snapToGrid w:val="0"/>
        <w:spacing w:line="480" w:lineRule="exact"/>
        <w:ind w:firstLine="482"/>
        <w:jc w:val="left"/>
        <w:rPr>
          <w:rFonts w:ascii="Times New Roman"/>
          <w:color w:val="auto"/>
          <w:kern w:val="2"/>
          <w:sz w:val="24"/>
          <w:szCs w:val="24"/>
          <w:highlight w:val="none"/>
        </w:rPr>
      </w:pPr>
      <w:r>
        <w:rPr>
          <w:rFonts w:ascii="Times New Roman"/>
          <w:color w:val="auto"/>
          <w:kern w:val="2"/>
          <w:sz w:val="24"/>
          <w:szCs w:val="24"/>
          <w:highlight w:val="none"/>
        </w:rPr>
        <w:t>2、网络报名方式</w:t>
      </w:r>
    </w:p>
    <w:p w14:paraId="08D1B0BE">
      <w:pPr>
        <w:tabs>
          <w:tab w:val="left" w:pos="1080"/>
        </w:tabs>
        <w:snapToGrid w:val="0"/>
        <w:spacing w:line="480" w:lineRule="exact"/>
        <w:ind w:firstLine="480"/>
        <w:jc w:val="left"/>
        <w:rPr>
          <w:rFonts w:ascii="Times New Roman"/>
          <w:color w:val="auto"/>
          <w:kern w:val="2"/>
          <w:sz w:val="24"/>
          <w:szCs w:val="24"/>
          <w:highlight w:val="none"/>
        </w:rPr>
      </w:pPr>
      <w:r>
        <w:rPr>
          <w:rFonts w:ascii="Times New Roman"/>
          <w:color w:val="auto"/>
          <w:kern w:val="2"/>
          <w:sz w:val="24"/>
          <w:szCs w:val="24"/>
          <w:highlight w:val="none"/>
        </w:rPr>
        <w:t>（1）供应商请提供《报名登记表》、《介绍信》（附经办人身份证件），格式可自拟或咨询028-69636477获取模板，并按照相关要求填写信息；</w:t>
      </w:r>
    </w:p>
    <w:p w14:paraId="4C828EB7">
      <w:pPr>
        <w:tabs>
          <w:tab w:val="left" w:pos="1080"/>
        </w:tabs>
        <w:snapToGrid w:val="0"/>
        <w:spacing w:line="480" w:lineRule="exact"/>
        <w:ind w:firstLine="480"/>
        <w:jc w:val="left"/>
        <w:rPr>
          <w:rFonts w:ascii="Times New Roman"/>
          <w:color w:val="auto"/>
          <w:kern w:val="2"/>
          <w:sz w:val="24"/>
          <w:szCs w:val="24"/>
          <w:highlight w:val="none"/>
        </w:rPr>
      </w:pPr>
      <w:r>
        <w:rPr>
          <w:rFonts w:ascii="Times New Roman"/>
          <w:color w:val="auto"/>
          <w:kern w:val="2"/>
          <w:sz w:val="24"/>
          <w:szCs w:val="24"/>
          <w:highlight w:val="none"/>
        </w:rPr>
        <w:t>（2）将已填写的《报名登记表》、《介绍信》等资料加盖公章扫描连同报名费支付凭证截图一并发送至邮箱yuncan7888@scyc81707888.com。</w:t>
      </w:r>
    </w:p>
    <w:p w14:paraId="55AB1CAC">
      <w:pPr>
        <w:tabs>
          <w:tab w:val="left" w:pos="1080"/>
        </w:tabs>
        <w:snapToGrid w:val="0"/>
        <w:spacing w:line="480" w:lineRule="exact"/>
        <w:ind w:firstLine="480"/>
        <w:jc w:val="left"/>
        <w:rPr>
          <w:rFonts w:ascii="Times New Roman"/>
          <w:color w:val="auto"/>
          <w:kern w:val="2"/>
          <w:sz w:val="24"/>
          <w:szCs w:val="24"/>
          <w:highlight w:val="none"/>
        </w:rPr>
      </w:pPr>
      <w:r>
        <w:rPr>
          <w:rFonts w:ascii="Times New Roman"/>
          <w:color w:val="auto"/>
          <w:kern w:val="2"/>
          <w:sz w:val="24"/>
          <w:szCs w:val="24"/>
          <w:highlight w:val="none"/>
        </w:rPr>
        <w:t>3、报名信息的修改</w:t>
      </w:r>
    </w:p>
    <w:p w14:paraId="5A59AB57">
      <w:pPr>
        <w:tabs>
          <w:tab w:val="left" w:pos="1080"/>
        </w:tabs>
        <w:snapToGrid w:val="0"/>
        <w:spacing w:line="480" w:lineRule="exact"/>
        <w:ind w:firstLine="480" w:firstLineChars="200"/>
        <w:rPr>
          <w:rFonts w:ascii="Times New Roman"/>
          <w:bCs/>
          <w:color w:val="auto"/>
          <w:highlight w:val="none"/>
        </w:rPr>
      </w:pPr>
      <w:r>
        <w:rPr>
          <w:rFonts w:ascii="Times New Roman"/>
          <w:color w:val="auto"/>
          <w:kern w:val="2"/>
          <w:sz w:val="24"/>
          <w:szCs w:val="24"/>
          <w:highlight w:val="none"/>
        </w:rPr>
        <w:t>供应商购买比选文件时必须如实认真填写项目信息及供应商信息；若因供应商提供的错误信息，对自身参加采购活动事宜造成影响的，由供应商自行承担责任（供应商欲修改报名信息，请于递交比选申请文件截止日前联系采购代理机构修改。</w:t>
      </w:r>
      <w:r>
        <w:rPr>
          <w:rFonts w:ascii="Times New Roman"/>
          <w:color w:val="auto"/>
          <w:sz w:val="24"/>
          <w:highlight w:val="none"/>
        </w:rPr>
        <w:t>）</w:t>
      </w:r>
    </w:p>
    <w:p w14:paraId="07B410CE">
      <w:pPr>
        <w:snapToGrid w:val="0"/>
        <w:spacing w:line="480" w:lineRule="exact"/>
        <w:ind w:firstLine="480" w:firstLineChars="200"/>
        <w:contextualSpacing/>
        <w:rPr>
          <w:rFonts w:ascii="Times New Roman"/>
          <w:color w:val="auto"/>
          <w:sz w:val="24"/>
          <w:highlight w:val="none"/>
        </w:rPr>
      </w:pPr>
      <w:r>
        <w:rPr>
          <w:rFonts w:ascii="Times New Roman"/>
          <w:color w:val="auto"/>
          <w:sz w:val="24"/>
          <w:highlight w:val="none"/>
        </w:rPr>
        <w:t>九、递交比选申请文件截止时间：2026年6月</w:t>
      </w:r>
      <w:r>
        <w:rPr>
          <w:rFonts w:hint="eastAsia" w:ascii="Times New Roman"/>
          <w:color w:val="auto"/>
          <w:sz w:val="24"/>
          <w:highlight w:val="none"/>
          <w:lang w:val="en-US" w:eastAsia="zh-CN"/>
        </w:rPr>
        <w:t>17</w:t>
      </w:r>
      <w:r>
        <w:rPr>
          <w:rFonts w:ascii="Times New Roman"/>
          <w:color w:val="auto"/>
          <w:sz w:val="24"/>
          <w:highlight w:val="none"/>
        </w:rPr>
        <w:t>日10:00（北京时间）。</w:t>
      </w:r>
    </w:p>
    <w:p w14:paraId="3EA04844">
      <w:pPr>
        <w:snapToGrid w:val="0"/>
        <w:spacing w:line="480" w:lineRule="exact"/>
        <w:ind w:firstLine="480" w:firstLineChars="200"/>
        <w:contextualSpacing/>
        <w:rPr>
          <w:rFonts w:ascii="Times New Roman"/>
          <w:color w:val="auto"/>
          <w:sz w:val="24"/>
          <w:highlight w:val="none"/>
        </w:rPr>
      </w:pPr>
      <w:r>
        <w:rPr>
          <w:rFonts w:ascii="Times New Roman"/>
          <w:color w:val="auto"/>
          <w:sz w:val="24"/>
          <w:highlight w:val="none"/>
        </w:rPr>
        <w:t>十、递交比选申请文件地点：成都市青羊区光华北三路98号18栋17楼7号(光华中心A座1707)。比选申请文件必须在递交比选申请文件截止时间前送达，逾期送达或不符合规定的比选申请文件恕不接受；不接受以电子邮件、传真及邮寄方式递交的比选申请文件。</w:t>
      </w:r>
    </w:p>
    <w:p w14:paraId="047CBF6A">
      <w:pPr>
        <w:snapToGrid w:val="0"/>
        <w:spacing w:line="480" w:lineRule="exact"/>
        <w:ind w:firstLine="480" w:firstLineChars="200"/>
        <w:contextualSpacing/>
        <w:jc w:val="left"/>
        <w:rPr>
          <w:rFonts w:hint="eastAsia" w:ascii="宋体" w:hAnsi="宋体" w:eastAsia="宋体" w:cs="宋体"/>
          <w:sz w:val="24"/>
        </w:rPr>
      </w:pPr>
      <w:r>
        <w:rPr>
          <w:rFonts w:hint="eastAsia" w:ascii="宋体" w:hAnsi="宋体" w:eastAsia="宋体" w:cs="宋体"/>
          <w:sz w:val="24"/>
        </w:rPr>
        <w:t>十</w:t>
      </w:r>
      <w:r>
        <w:rPr>
          <w:rFonts w:hint="eastAsia" w:hAnsi="宋体" w:eastAsia="宋体" w:cs="宋体"/>
          <w:sz w:val="24"/>
          <w:lang w:val="en-US" w:eastAsia="zh-CN"/>
        </w:rPr>
        <w:t>一</w:t>
      </w:r>
      <w:r>
        <w:rPr>
          <w:rFonts w:hint="eastAsia" w:ascii="宋体" w:hAnsi="宋体" w:eastAsia="宋体" w:cs="宋体"/>
          <w:sz w:val="24"/>
        </w:rPr>
        <w:t>、本</w:t>
      </w:r>
      <w:r>
        <w:rPr>
          <w:rFonts w:hint="eastAsia" w:ascii="宋体" w:hAnsi="宋体" w:eastAsia="宋体" w:cs="宋体"/>
          <w:sz w:val="24"/>
          <w:lang w:eastAsia="zh-CN"/>
        </w:rPr>
        <w:t>比选</w:t>
      </w:r>
      <w:r>
        <w:rPr>
          <w:rFonts w:hint="eastAsia" w:ascii="宋体" w:hAnsi="宋体" w:eastAsia="宋体" w:cs="宋体"/>
          <w:sz w:val="24"/>
        </w:rPr>
        <w:t>邀请在</w:t>
      </w:r>
      <w:r>
        <w:rPr>
          <w:rFonts w:ascii="Times New Roman"/>
          <w:color w:val="auto"/>
          <w:sz w:val="24"/>
          <w:highlight w:val="none"/>
        </w:rPr>
        <w:t>中国招标投标公共服务平台网站</w:t>
      </w:r>
      <w:r>
        <w:rPr>
          <w:rFonts w:hint="eastAsia" w:ascii="Times New Roman"/>
          <w:color w:val="auto"/>
          <w:sz w:val="24"/>
          <w:highlight w:val="none"/>
          <w:lang w:eastAsia="zh-CN"/>
        </w:rPr>
        <w:t>以及成都师范学院附属柳河幼儿园</w:t>
      </w:r>
      <w:r>
        <w:rPr>
          <w:rFonts w:hint="eastAsia" w:ascii="Times New Roman" w:hAnsi="Times New Roman" w:eastAsia="宋体" w:cs="Times New Roman"/>
          <w:color w:val="auto"/>
          <w:sz w:val="24"/>
          <w:highlight w:val="none"/>
          <w:lang w:val="en-US" w:eastAsia="zh-CN"/>
        </w:rPr>
        <w:t>官网上同步发布</w:t>
      </w:r>
      <w:r>
        <w:rPr>
          <w:rFonts w:ascii="Times New Roman"/>
          <w:color w:val="auto"/>
          <w:sz w:val="24"/>
          <w:highlight w:val="none"/>
        </w:rPr>
        <w:t>。(网址：http://www.cebpubservice.com</w:t>
      </w:r>
      <w:r>
        <w:rPr>
          <w:rFonts w:hint="eastAsia" w:ascii="Times New Roman"/>
          <w:color w:val="auto"/>
          <w:sz w:val="24"/>
          <w:highlight w:val="none"/>
          <w:lang w:eastAsia="zh-CN"/>
        </w:rPr>
        <w:t>、https://lhyey.wjjy.cn/index.aspx</w:t>
      </w:r>
      <w:r>
        <w:rPr>
          <w:rFonts w:ascii="Times New Roman"/>
          <w:color w:val="auto"/>
          <w:sz w:val="24"/>
          <w:highlight w:val="none"/>
        </w:rPr>
        <w:t>。</w:t>
      </w:r>
    </w:p>
    <w:p w14:paraId="255E6C1A">
      <w:pPr>
        <w:keepNext w:val="0"/>
        <w:keepLines w:val="0"/>
        <w:pageBreakBefore w:val="0"/>
        <w:widowControl w:val="0"/>
        <w:kinsoku/>
        <w:wordWrap/>
        <w:overflowPunct/>
        <w:topLinePunct w:val="0"/>
        <w:autoSpaceDE/>
        <w:autoSpaceDN/>
        <w:bidi w:val="0"/>
        <w:adjustRightInd/>
        <w:spacing w:line="440" w:lineRule="exact"/>
        <w:ind w:firstLine="480" w:firstLineChars="200"/>
        <w:contextualSpacing/>
        <w:jc w:val="left"/>
        <w:textAlignment w:val="auto"/>
        <w:rPr>
          <w:rFonts w:hint="eastAsia" w:ascii="宋体" w:hAnsi="宋体" w:eastAsia="宋体" w:cs="宋体"/>
          <w:sz w:val="24"/>
        </w:rPr>
      </w:pPr>
      <w:r>
        <w:rPr>
          <w:rFonts w:hint="eastAsia" w:ascii="宋体" w:hAnsi="宋体" w:eastAsia="宋体" w:cs="宋体"/>
          <w:sz w:val="24"/>
          <w:lang w:eastAsia="zh-CN"/>
        </w:rPr>
        <w:t>十</w:t>
      </w:r>
      <w:r>
        <w:rPr>
          <w:rFonts w:hint="eastAsia" w:hAnsi="宋体" w:eastAsia="宋体" w:cs="宋体"/>
          <w:sz w:val="24"/>
          <w:lang w:val="en-US" w:eastAsia="zh-CN"/>
        </w:rPr>
        <w:t>二</w:t>
      </w:r>
      <w:r>
        <w:rPr>
          <w:rFonts w:hint="eastAsia" w:ascii="宋体" w:hAnsi="宋体" w:eastAsia="宋体" w:cs="宋体"/>
          <w:sz w:val="24"/>
          <w:lang w:eastAsia="zh-CN"/>
        </w:rPr>
        <w:t>、</w:t>
      </w:r>
      <w:r>
        <w:rPr>
          <w:rFonts w:hint="eastAsia" w:ascii="宋体" w:hAnsi="宋体" w:eastAsia="宋体" w:cs="宋体"/>
          <w:sz w:val="24"/>
        </w:rPr>
        <w:t>有关本次</w:t>
      </w:r>
      <w:r>
        <w:rPr>
          <w:rFonts w:hint="eastAsia" w:ascii="宋体" w:hAnsi="宋体" w:eastAsia="宋体" w:cs="宋体"/>
          <w:sz w:val="24"/>
          <w:lang w:eastAsia="zh-CN"/>
        </w:rPr>
        <w:t>比选</w:t>
      </w:r>
      <w:r>
        <w:rPr>
          <w:rFonts w:hint="eastAsia" w:ascii="宋体" w:hAnsi="宋体" w:eastAsia="宋体" w:cs="宋体"/>
          <w:sz w:val="24"/>
        </w:rPr>
        <w:t>事项请按以下方式联系：</w:t>
      </w:r>
    </w:p>
    <w:p w14:paraId="3DB5089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lang w:val="en-US" w:eastAsia="zh-CN"/>
        </w:rPr>
      </w:pPr>
      <w:bookmarkStart w:id="3" w:name="_Toc418684959"/>
      <w:r>
        <w:rPr>
          <w:rFonts w:hint="eastAsia" w:ascii="宋体" w:hAnsi="宋体" w:eastAsia="宋体" w:cs="宋体"/>
          <w:color w:val="auto"/>
          <w:sz w:val="24"/>
          <w:lang w:val="en-US" w:eastAsia="zh-CN"/>
        </w:rPr>
        <w:t>比 选 人：</w:t>
      </w:r>
      <w:r>
        <w:rPr>
          <w:rFonts w:hint="eastAsia" w:hAnsi="宋体" w:eastAsia="宋体" w:cs="宋体"/>
          <w:color w:val="auto"/>
          <w:sz w:val="24"/>
          <w:lang w:val="en-US" w:eastAsia="zh-CN"/>
        </w:rPr>
        <w:t>成都师范学院附属柳河幼儿园</w:t>
      </w:r>
    </w:p>
    <w:p w14:paraId="300C0FF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联 系 人：</w:t>
      </w:r>
      <w:r>
        <w:rPr>
          <w:rFonts w:hint="eastAsia" w:hAnsi="宋体" w:eastAsia="宋体" w:cs="宋体"/>
          <w:color w:val="auto"/>
          <w:sz w:val="24"/>
          <w:lang w:val="en-US" w:eastAsia="zh-CN"/>
        </w:rPr>
        <w:t>唐</w:t>
      </w:r>
      <w:r>
        <w:rPr>
          <w:rFonts w:hint="eastAsia" w:ascii="宋体" w:hAnsi="宋体" w:eastAsia="宋体" w:cs="宋体"/>
          <w:color w:val="auto"/>
          <w:sz w:val="24"/>
          <w:lang w:val="en-US" w:eastAsia="zh-CN"/>
        </w:rPr>
        <w:t xml:space="preserve">老师  </w:t>
      </w:r>
    </w:p>
    <w:p w14:paraId="1846DDF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联系方式</w:t>
      </w:r>
      <w:bookmarkStart w:id="7" w:name="_GoBack"/>
      <w:bookmarkEnd w:id="7"/>
      <w:r>
        <w:rPr>
          <w:rFonts w:hint="eastAsia" w:ascii="宋体" w:hAnsi="宋体" w:eastAsia="宋体" w:cs="宋体"/>
          <w:color w:val="auto"/>
          <w:sz w:val="24"/>
          <w:lang w:val="en-US" w:eastAsia="zh-CN"/>
        </w:rPr>
        <w:t>：028-82783171</w:t>
      </w:r>
    </w:p>
    <w:p w14:paraId="4D3803C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auto"/>
          <w:kern w:val="2"/>
          <w:sz w:val="24"/>
          <w:szCs w:val="24"/>
          <w:highlight w:val="none"/>
          <w:lang w:val="en-US" w:eastAsia="zh-CN"/>
        </w:rPr>
      </w:pPr>
      <w:r>
        <w:rPr>
          <w:rFonts w:hint="eastAsia" w:ascii="宋体" w:hAnsi="宋体" w:eastAsia="宋体" w:cs="宋体"/>
          <w:color w:val="auto"/>
          <w:sz w:val="24"/>
          <w:lang w:val="en-US" w:eastAsia="zh-CN"/>
        </w:rPr>
        <w:t>通讯地址：成都市温江区五洞桥路999号</w:t>
      </w:r>
    </w:p>
    <w:p w14:paraId="70978FC1">
      <w:pPr>
        <w:keepNext w:val="0"/>
        <w:keepLines w:val="0"/>
        <w:pageBreakBefore w:val="0"/>
        <w:widowControl w:val="0"/>
        <w:kinsoku/>
        <w:wordWrap/>
        <w:overflowPunct/>
        <w:topLinePunct w:val="0"/>
        <w:autoSpaceDE/>
        <w:autoSpaceDN/>
        <w:bidi w:val="0"/>
        <w:adjustRightInd/>
        <w:snapToGrid/>
        <w:spacing w:line="440" w:lineRule="exact"/>
        <w:ind w:firstLine="480" w:firstLineChars="200"/>
        <w:contextualSpacing/>
        <w:textAlignment w:val="auto"/>
        <w:rPr>
          <w:rFonts w:hint="eastAsia" w:ascii="宋体" w:hAnsi="宋体" w:eastAsia="宋体" w:cs="宋体"/>
          <w:sz w:val="24"/>
        </w:rPr>
      </w:pPr>
    </w:p>
    <w:bookmarkEnd w:id="3"/>
    <w:p w14:paraId="5C759A36">
      <w:pPr>
        <w:snapToGrid w:val="0"/>
        <w:spacing w:line="360" w:lineRule="auto"/>
        <w:ind w:firstLine="480" w:firstLineChars="200"/>
        <w:contextualSpacing/>
        <w:rPr>
          <w:color w:val="auto"/>
          <w:sz w:val="24"/>
          <w:highlight w:val="none"/>
        </w:rPr>
      </w:pPr>
      <w:r>
        <w:rPr>
          <w:b w:val="0"/>
          <w:bCs w:val="0"/>
          <w:color w:val="auto"/>
          <w:sz w:val="24"/>
          <w:highlight w:val="none"/>
        </w:rPr>
        <w:t>采购代理机构：四川</w:t>
      </w:r>
      <w:r>
        <w:rPr>
          <w:color w:val="auto"/>
          <w:sz w:val="24"/>
          <w:highlight w:val="none"/>
        </w:rPr>
        <w:t>云灿招标代理有限公司</w:t>
      </w:r>
    </w:p>
    <w:p w14:paraId="2D44EFD0">
      <w:pPr>
        <w:snapToGrid w:val="0"/>
        <w:spacing w:line="360" w:lineRule="auto"/>
        <w:ind w:firstLine="480" w:firstLineChars="200"/>
        <w:contextualSpacing/>
        <w:rPr>
          <w:color w:val="auto"/>
          <w:sz w:val="24"/>
          <w:highlight w:val="none"/>
        </w:rPr>
      </w:pPr>
      <w:bookmarkStart w:id="4" w:name="_Toc418684961"/>
      <w:r>
        <w:rPr>
          <w:color w:val="auto"/>
          <w:sz w:val="24"/>
          <w:highlight w:val="none"/>
        </w:rPr>
        <w:t>联 系 人：</w:t>
      </w:r>
      <w:bookmarkEnd w:id="4"/>
      <w:r>
        <w:rPr>
          <w:rFonts w:hint="eastAsia"/>
          <w:color w:val="auto"/>
          <w:sz w:val="24"/>
          <w:highlight w:val="none"/>
          <w:lang w:eastAsia="zh-CN"/>
        </w:rPr>
        <w:t>付</w:t>
      </w:r>
      <w:r>
        <w:rPr>
          <w:color w:val="auto"/>
          <w:sz w:val="24"/>
          <w:highlight w:val="none"/>
        </w:rPr>
        <w:t>女士</w:t>
      </w:r>
    </w:p>
    <w:p w14:paraId="747EE6F2">
      <w:pPr>
        <w:snapToGrid w:val="0"/>
        <w:spacing w:line="360" w:lineRule="auto"/>
        <w:ind w:firstLine="480" w:firstLineChars="200"/>
        <w:contextualSpacing/>
        <w:rPr>
          <w:color w:val="auto"/>
          <w:sz w:val="24"/>
          <w:highlight w:val="none"/>
        </w:rPr>
      </w:pPr>
      <w:bookmarkStart w:id="5" w:name="_Toc418684962"/>
      <w:r>
        <w:rPr>
          <w:color w:val="auto"/>
          <w:sz w:val="24"/>
          <w:highlight w:val="none"/>
        </w:rPr>
        <w:t>联系电话：</w:t>
      </w:r>
      <w:bookmarkEnd w:id="5"/>
      <w:r>
        <w:rPr>
          <w:color w:val="auto"/>
          <w:sz w:val="24"/>
          <w:highlight w:val="none"/>
        </w:rPr>
        <w:t>028-69636477</w:t>
      </w:r>
    </w:p>
    <w:p w14:paraId="370FC98E">
      <w:pPr>
        <w:snapToGrid w:val="0"/>
        <w:spacing w:line="360" w:lineRule="auto"/>
        <w:ind w:firstLine="480" w:firstLineChars="200"/>
        <w:contextualSpacing/>
        <w:rPr>
          <w:color w:val="auto"/>
          <w:sz w:val="24"/>
          <w:highlight w:val="none"/>
        </w:rPr>
      </w:pPr>
      <w:r>
        <w:rPr>
          <w:color w:val="auto"/>
          <w:sz w:val="24"/>
          <w:highlight w:val="none"/>
        </w:rPr>
        <w:t>银行账号：1270014016391608</w:t>
      </w:r>
    </w:p>
    <w:p w14:paraId="10142E28">
      <w:pPr>
        <w:snapToGrid w:val="0"/>
        <w:spacing w:line="360" w:lineRule="auto"/>
        <w:ind w:firstLine="480" w:firstLineChars="200"/>
        <w:contextualSpacing/>
        <w:rPr>
          <w:color w:val="auto"/>
          <w:sz w:val="24"/>
          <w:highlight w:val="none"/>
        </w:rPr>
      </w:pPr>
      <w:r>
        <w:rPr>
          <w:color w:val="auto"/>
          <w:sz w:val="24"/>
          <w:highlight w:val="none"/>
        </w:rPr>
        <w:t xml:space="preserve">开户银行：哈尔滨银行股份有限公司成都温江支行    </w:t>
      </w:r>
    </w:p>
    <w:p w14:paraId="790EA297">
      <w:pPr>
        <w:snapToGrid w:val="0"/>
        <w:spacing w:line="360" w:lineRule="auto"/>
        <w:ind w:firstLine="480" w:firstLineChars="200"/>
        <w:contextualSpacing/>
        <w:rPr>
          <w:color w:val="auto"/>
          <w:sz w:val="24"/>
          <w:highlight w:val="none"/>
        </w:rPr>
      </w:pPr>
      <w:r>
        <w:rPr>
          <w:color w:val="auto"/>
          <w:sz w:val="24"/>
          <w:highlight w:val="none"/>
        </w:rPr>
        <w:t xml:space="preserve">电子邮件：yuncan7888@scyc81707888.com   </w:t>
      </w:r>
    </w:p>
    <w:p w14:paraId="3360A6B4">
      <w:pPr>
        <w:snapToGrid w:val="0"/>
        <w:spacing w:line="360" w:lineRule="auto"/>
        <w:ind w:firstLine="480" w:firstLineChars="200"/>
        <w:contextualSpacing/>
        <w:rPr>
          <w:color w:val="auto"/>
          <w:sz w:val="24"/>
          <w:highlight w:val="none"/>
        </w:rPr>
      </w:pPr>
      <w:bookmarkStart w:id="6" w:name="_Toc418684960"/>
      <w:r>
        <w:rPr>
          <w:color w:val="auto"/>
          <w:sz w:val="24"/>
          <w:highlight w:val="none"/>
        </w:rPr>
        <w:t>通讯地址：</w:t>
      </w:r>
      <w:bookmarkEnd w:id="6"/>
      <w:r>
        <w:rPr>
          <w:color w:val="auto"/>
          <w:sz w:val="24"/>
          <w:highlight w:val="none"/>
        </w:rPr>
        <w:t>成都市青羊区光华北三路98号18栋17层1707号(光华中心A座1707)</w:t>
      </w:r>
    </w:p>
    <w:p w14:paraId="0E60CD25">
      <w:pPr>
        <w:rPr>
          <w:rFonts w:hint="eastAsia" w:hAnsi="宋体" w:eastAsia="宋体" w:cs="宋体"/>
          <w:b w:val="0"/>
          <w:bCs/>
          <w:color w:val="auto"/>
          <w:sz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49596A"/>
    <w:rsid w:val="0F08229C"/>
    <w:rsid w:val="1FAF780A"/>
    <w:rsid w:val="4C4959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customStyle="1" w:styleId="3">
    <w:name w:val="附件标题-1"/>
    <w:next w:val="1"/>
    <w:qFormat/>
    <w:uiPriority w:val="0"/>
    <w:pPr>
      <w:widowControl w:val="0"/>
      <w:spacing w:beforeLines="50" w:afterLines="50"/>
      <w:jc w:val="center"/>
    </w:pPr>
    <w:rPr>
      <w:rFonts w:ascii="Times New Roman" w:hAnsi="Times New Roman" w:eastAsia="黑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1429</Words>
  <Characters>1694</Characters>
  <Lines>0</Lines>
  <Paragraphs>0</Paragraphs>
  <TotalTime>0</TotalTime>
  <ScaleCrop>false</ScaleCrop>
  <LinksUpToDate>false</LinksUpToDate>
  <CharactersWithSpaces>1710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2026-06-09T06:06:00Z</dcterms:created>
  <dc:creator>那山之城</dc:creator>
  <cp:lastModifiedBy>那山之城</cp:lastModifiedBy>
  <dcterms:modified xsi:type="dcterms:W3CDTF">2026-06-10T01:39:57Z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86BA9389BB484BC39E9B45698DDD2A73_11</vt:lpwstr>
  </property>
  <property fmtid="{D5CDD505-2E9C-101B-9397-08002B2CF9AE}" pid="4" name="KSOTemplateDocerSaveRecord">
    <vt:lpwstr>eyJoZGlkIjoiNDkzMThjYTg4NGI3NDllN2E2ZGRiMWVjNzhiNDUxOGUiLCJ1c2VySWQiOiIzMDgyOTE2NjkifQ==</vt:lpwstr>
  </property>
</Properties>
</file>